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50" w:rsidRDefault="004A6C9D">
      <w:r>
        <w:t>DAY 2</w:t>
      </w:r>
    </w:p>
    <w:tbl>
      <w:tblPr>
        <w:tblStyle w:val="TableGrid"/>
        <w:tblW w:w="0" w:type="auto"/>
        <w:tblLook w:val="04A0"/>
      </w:tblPr>
      <w:tblGrid>
        <w:gridCol w:w="1176"/>
        <w:gridCol w:w="1542"/>
        <w:gridCol w:w="6390"/>
      </w:tblGrid>
      <w:tr w:rsidR="004A6C9D" w:rsidTr="00FE0F91">
        <w:tc>
          <w:tcPr>
            <w:tcW w:w="1176" w:type="dxa"/>
          </w:tcPr>
          <w:p w:rsidR="004A6C9D" w:rsidRDefault="004A6C9D" w:rsidP="00FE0F91">
            <w:r>
              <w:t>Session 2</w:t>
            </w:r>
          </w:p>
        </w:tc>
        <w:tc>
          <w:tcPr>
            <w:tcW w:w="1542" w:type="dxa"/>
          </w:tcPr>
          <w:p w:rsidR="004A6C9D" w:rsidRDefault="004A6C9D" w:rsidP="00FE0F91">
            <w:r>
              <w:t>10:45 – 12:15</w:t>
            </w:r>
          </w:p>
        </w:tc>
        <w:tc>
          <w:tcPr>
            <w:tcW w:w="6390" w:type="dxa"/>
          </w:tcPr>
          <w:p w:rsidR="004A6C9D" w:rsidRDefault="004A6C9D" w:rsidP="00FE0F91">
            <w:r>
              <w:t>Guided simulations 1 – Regional impact of national policy or economic shocks</w:t>
            </w:r>
          </w:p>
        </w:tc>
      </w:tr>
    </w:tbl>
    <w:p w:rsidR="004A6C9D" w:rsidRDefault="004A6C9D"/>
    <w:p w:rsidR="0036040D" w:rsidRDefault="0036040D" w:rsidP="0036040D">
      <w:r>
        <w:t xml:space="preserve">Simulation 1 – </w:t>
      </w:r>
      <w:proofErr w:type="spellStart"/>
      <w:r>
        <w:t>Pembatasan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tambang</w:t>
      </w:r>
      <w:proofErr w:type="spellEnd"/>
      <w:r>
        <w:t xml:space="preserve"> (non-</w:t>
      </w:r>
      <w:proofErr w:type="spellStart"/>
      <w:r>
        <w:t>migas</w:t>
      </w:r>
      <w:proofErr w:type="spellEnd"/>
      <w:r>
        <w:t xml:space="preserve">)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ekspor</w:t>
      </w:r>
      <w:proofErr w:type="spellEnd"/>
    </w:p>
    <w:p w:rsidR="0036040D" w:rsidRDefault="0036040D" w:rsidP="0036040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Badan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Koordinasi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Penanaman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Modal (BKPM)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mengklaim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bea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keluar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20% yang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ditetapkan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pemerintah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terhadap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56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komoditas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tambang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diekspor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mentah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menarik</w:t>
      </w:r>
      <w:proofErr w:type="spellEnd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investasi</w:t>
      </w:r>
      <w:proofErr w:type="spellEnd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ke</w:t>
      </w:r>
      <w:proofErr w:type="spellEnd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Indonesia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Kenapa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?</w:t>
      </w:r>
      <w:proofErr w:type="gramEnd"/>
    </w:p>
    <w:p w:rsidR="0036040D" w:rsidRDefault="0036040D" w:rsidP="0036040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Adanya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bea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keluar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tambang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justru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mengingkatkan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investasi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investor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Indonesia,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hal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karena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bea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keluar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tersebut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membuat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investor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pengusaha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tambang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harus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tambah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investasi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membangun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unit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pengolahan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tambang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(smelter),"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kata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Direktur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Regulasi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BKPM Natalia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Ratna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Kentjana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ketika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ditemui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kawasan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SCBD, Jakarta,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Jumat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(1/6/2012).</w:t>
      </w:r>
    </w:p>
    <w:p w:rsidR="0036040D" w:rsidRDefault="0036040D" w:rsidP="0036040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Dikatakan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Natalia,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pada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2014 Indonesia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bakal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menutup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ekspor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tambang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raw material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bentuk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mentah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investor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baru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bermain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pembangunan</w:t>
      </w:r>
      <w:proofErr w:type="spellEnd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pabrik</w:t>
      </w:r>
      <w:proofErr w:type="spellEnd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pengolahan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pastinya</w:t>
      </w:r>
      <w:proofErr w:type="spellEnd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pendapatan</w:t>
      </w:r>
      <w:proofErr w:type="spellEnd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negara</w:t>
      </w:r>
      <w:proofErr w:type="spellEnd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naik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menciptakan</w:t>
      </w:r>
      <w:proofErr w:type="spellEnd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tenaga</w:t>
      </w:r>
      <w:proofErr w:type="spellEnd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ED2D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kerja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cukup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banyak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pula,"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ucapnya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proofErr w:type="gramEnd"/>
    </w:p>
    <w:p w:rsidR="0036040D" w:rsidRPr="00E272AC" w:rsidRDefault="0036040D" w:rsidP="0036040D">
      <w:pPr>
        <w:rPr>
          <w:rFonts w:ascii="Arial" w:hAnsi="Arial" w:cs="Arial"/>
          <w:color w:val="000000"/>
          <w:sz w:val="8"/>
          <w:szCs w:val="16"/>
          <w:shd w:val="clear" w:color="auto" w:fill="FFFFFF"/>
        </w:rPr>
      </w:pPr>
      <w:hyperlink r:id="rId5" w:history="1">
        <w:r w:rsidRPr="00E272AC">
          <w:rPr>
            <w:rStyle w:val="Hyperlink"/>
            <w:sz w:val="14"/>
          </w:rPr>
          <w:t>http://finance.detik.com/read/2012/06/01/145008/1930478/4/aturan-pajak-ekspor-tambang-mentah-bakal-tarik-investor-ke-ri?</w:t>
        </w:r>
      </w:hyperlink>
    </w:p>
    <w:p w:rsidR="0036040D" w:rsidRDefault="0036040D" w:rsidP="0036040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6040D" w:rsidRDefault="0036040D" w:rsidP="0036040D">
      <w:pP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Peraturan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menteri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ESDM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Permen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soal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peningkatan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nilai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tambah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mineral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melalui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kegiatan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pengolahan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pemurnian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mineral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dianggap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berdampak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pada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pemutusan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hubungan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kerja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(PHK).</w:t>
      </w:r>
      <w:proofErr w:type="gramEnd"/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36040D" w:rsidRDefault="0036040D" w:rsidP="0036040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Hal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senada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diungkapkan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oleh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Ketua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Umum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Kadin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Sulawesi Tenggara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Heri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Asiku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mengungkapkan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sampai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sudah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15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ribu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orang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PHK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akibat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jalannya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praktek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eskpor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nikel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Sulawesi Tenggara.</w:t>
      </w:r>
      <w:proofErr w:type="gramEnd"/>
    </w:p>
    <w:p w:rsidR="0036040D" w:rsidRPr="00D271D6" w:rsidRDefault="0036040D" w:rsidP="0036040D">
      <w:pPr>
        <w:rPr>
          <w:rStyle w:val="apple-converted-space"/>
          <w:rFonts w:ascii="Arial" w:hAnsi="Arial" w:cs="Arial"/>
          <w:color w:val="000000"/>
          <w:sz w:val="10"/>
          <w:szCs w:val="16"/>
          <w:shd w:val="clear" w:color="auto" w:fill="FFFFFF"/>
        </w:rPr>
      </w:pPr>
      <w:hyperlink r:id="rId6" w:history="1">
        <w:r w:rsidRPr="00D271D6">
          <w:rPr>
            <w:rStyle w:val="Hyperlink"/>
            <w:sz w:val="16"/>
          </w:rPr>
          <w:t>http://finance.detik.com/read/2012/06/08/163439/1936494/4/ekspor-tambang-macet-belasan-ribu-pekerja-kena-phk?</w:t>
        </w:r>
      </w:hyperlink>
    </w:p>
    <w:p w:rsidR="0036040D" w:rsidRDefault="0036040D" w:rsidP="0036040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6040D" w:rsidRDefault="0036040D" w:rsidP="0036040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Dirjen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Pedagangan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Negeri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Kementerian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Perdagangan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Deddy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Saleh</w:t>
      </w:r>
      <w:proofErr w:type="spellEnd"/>
      <w:proofErr w:type="gramStart"/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menegaskan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pembatasan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ekspor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produk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mineral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tambang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upaya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pemerintah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menjaga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lingkungan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agar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terlalu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tereksploitasi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berlebihan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Selain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permasalahan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keberlangsungan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terhadap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lingkungan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faktor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yang lain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penciptaan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nilai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tambah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negeri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"Kita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terus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kembangkan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hilirisasi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itu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tujuan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awal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kita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,"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ucap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Deddy</w:t>
      </w:r>
      <w:proofErr w:type="spellEnd"/>
    </w:p>
    <w:p w:rsidR="0036040D" w:rsidRDefault="0036040D" w:rsidP="0036040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Hilirisasi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akan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berdampak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banyak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baik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segi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lingkungan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ekonomi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penerapan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tenaga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kerja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menciptakan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industri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pengolahan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masalah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sosial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juga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bisa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diselesaikan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36040D" w:rsidRPr="003B37E7" w:rsidRDefault="0036040D" w:rsidP="0036040D">
      <w:pPr>
        <w:rPr>
          <w:sz w:val="14"/>
        </w:rPr>
      </w:pPr>
      <w:hyperlink r:id="rId7" w:history="1">
        <w:r w:rsidRPr="003B37E7">
          <w:rPr>
            <w:rStyle w:val="Hyperlink"/>
            <w:sz w:val="14"/>
          </w:rPr>
          <w:t>http://finance.detik.com/read/2012/06/22/165154/1948581/4/ini-argumen-pemerintah-jika-diadukan-ke-wto-soal-ekspor-tambang</w:t>
        </w:r>
      </w:hyperlink>
    </w:p>
    <w:p w:rsidR="0036040D" w:rsidRDefault="0036040D" w:rsidP="00041A13"/>
    <w:p w:rsidR="0036040D" w:rsidRDefault="0036040D" w:rsidP="00041A13"/>
    <w:p w:rsidR="00041A13" w:rsidRDefault="00041A13" w:rsidP="00041A13">
      <w:proofErr w:type="spellStart"/>
      <w:r>
        <w:t>Petunjuk</w:t>
      </w:r>
      <w:proofErr w:type="spellEnd"/>
      <w:r>
        <w:t xml:space="preserve">: </w:t>
      </w:r>
    </w:p>
    <w:p w:rsidR="00041A13" w:rsidRDefault="00026109" w:rsidP="00041A13">
      <w:pPr>
        <w:pStyle w:val="ListParagraph"/>
        <w:numPr>
          <w:ilvl w:val="0"/>
          <w:numId w:val="3"/>
        </w:numPr>
      </w:pPr>
      <w:proofErr w:type="spellStart"/>
      <w:r>
        <w:t>Jalankan</w:t>
      </w:r>
      <w:proofErr w:type="spellEnd"/>
      <w:r w:rsidR="00041A13">
        <w:t xml:space="preserve"> </w:t>
      </w:r>
      <w:proofErr w:type="spellStart"/>
      <w:r w:rsidR="00041A13">
        <w:t>TABmate</w:t>
      </w:r>
      <w:proofErr w:type="spellEnd"/>
      <w:r w:rsidR="00041A13">
        <w:t xml:space="preserve"> </w:t>
      </w:r>
      <w:proofErr w:type="spellStart"/>
      <w:r w:rsidR="00041A13">
        <w:t>dan</w:t>
      </w:r>
      <w:proofErr w:type="spellEnd"/>
      <w:r w:rsidR="00041A13">
        <w:t xml:space="preserve"> </w:t>
      </w:r>
      <w:proofErr w:type="spellStart"/>
      <w:r w:rsidR="00041A13">
        <w:t>buka</w:t>
      </w:r>
      <w:proofErr w:type="spellEnd"/>
      <w:r w:rsidR="00041A13">
        <w:t xml:space="preserve"> file </w:t>
      </w:r>
      <w:proofErr w:type="spellStart"/>
      <w:r w:rsidR="00041A13">
        <w:t>simulasi</w:t>
      </w:r>
      <w:proofErr w:type="spellEnd"/>
      <w:r w:rsidR="00041A13">
        <w:t xml:space="preserve"> sim</w:t>
      </w:r>
      <w:r w:rsidR="00FE7F48">
        <w:t>d</w:t>
      </w:r>
      <w:r w:rsidR="00DD2C5A">
        <w:t>2s2</w:t>
      </w:r>
      <w:r w:rsidR="00041A13">
        <w:t>s1.cmf</w:t>
      </w:r>
    </w:p>
    <w:p w:rsidR="00ED0A44" w:rsidRDefault="00ED0A44" w:rsidP="00ED0A44">
      <w:pPr>
        <w:pStyle w:val="ListParagraph"/>
        <w:ind w:left="390"/>
      </w:pPr>
    </w:p>
    <w:p w:rsidR="00A961F9" w:rsidRDefault="00A961F9" w:rsidP="00041A13">
      <w:pPr>
        <w:pStyle w:val="ListParagraph"/>
        <w:numPr>
          <w:ilvl w:val="0"/>
          <w:numId w:val="3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</w:t>
      </w:r>
      <w:r w:rsidR="000C7663">
        <w:t>njelaskan</w:t>
      </w:r>
      <w:proofErr w:type="spellEnd"/>
      <w:r w:rsidR="000C7663">
        <w:t xml:space="preserve"> </w:t>
      </w:r>
      <w:proofErr w:type="spellStart"/>
      <w:r w:rsidR="000C7663">
        <w:t>simulasi</w:t>
      </w:r>
      <w:proofErr w:type="spellEnd"/>
      <w:r w:rsidR="000C7663">
        <w:t xml:space="preserve"> </w:t>
      </w:r>
      <w:proofErr w:type="spellStart"/>
      <w:r w:rsidR="000C7663">
        <w:t>ini</w:t>
      </w:r>
      <w:proofErr w:type="spellEnd"/>
      <w:r w:rsidR="000C7663">
        <w:t xml:space="preserve"> </w:t>
      </w:r>
      <w:proofErr w:type="spellStart"/>
      <w:r w:rsidR="000C7663">
        <w:t>dari</w:t>
      </w:r>
      <w:proofErr w:type="spellEnd"/>
      <w:r w:rsidR="000C7663">
        <w:t xml:space="preserve"> command:</w:t>
      </w:r>
    </w:p>
    <w:p w:rsidR="000C7663" w:rsidRDefault="000C7663" w:rsidP="000C7663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gramStart"/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shock</w:t>
      </w:r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tuser_sd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(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"OTMIN"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,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"EXP"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) = 25;</w:t>
      </w:r>
    </w:p>
    <w:p w:rsidR="00ED0A44" w:rsidRDefault="00ED0A44" w:rsidP="000C7663">
      <w:pPr>
        <w:pStyle w:val="ListParagraph"/>
        <w:ind w:left="390"/>
      </w:pPr>
    </w:p>
    <w:p w:rsidR="00041A13" w:rsidRDefault="00026109" w:rsidP="00041A13">
      <w:pPr>
        <w:pStyle w:val="ListParagraph"/>
        <w:numPr>
          <w:ilvl w:val="0"/>
          <w:numId w:val="3"/>
        </w:numPr>
      </w:pPr>
      <w:proofErr w:type="spellStart"/>
      <w:r>
        <w:t>Jalankan</w:t>
      </w:r>
      <w:proofErr w:type="spellEnd"/>
      <w:r w:rsidR="00041A13">
        <w:t xml:space="preserve"> </w:t>
      </w:r>
      <w:proofErr w:type="spellStart"/>
      <w:r w:rsidR="00041A13">
        <w:t>WinGEM</w:t>
      </w:r>
      <w:proofErr w:type="spellEnd"/>
      <w:r w:rsidR="00041A13">
        <w:t xml:space="preserve"> </w:t>
      </w:r>
      <w:proofErr w:type="spellStart"/>
      <w:r w:rsidR="00041A13">
        <w:t>dan</w:t>
      </w:r>
      <w:proofErr w:type="spellEnd"/>
      <w:r w:rsidR="00041A13">
        <w:t xml:space="preserve"> </w:t>
      </w:r>
      <w:proofErr w:type="spellStart"/>
      <w:r w:rsidR="00041A13">
        <w:t>jalankan</w:t>
      </w:r>
      <w:proofErr w:type="spellEnd"/>
      <w:r w:rsidR="00041A13">
        <w:t xml:space="preserve"> file </w:t>
      </w:r>
      <w:proofErr w:type="spellStart"/>
      <w:r w:rsidR="000C7663">
        <w:t>simulasi</w:t>
      </w:r>
      <w:proofErr w:type="spellEnd"/>
      <w:r w:rsidR="000C7663">
        <w:t xml:space="preserve"> </w:t>
      </w:r>
      <w:proofErr w:type="spellStart"/>
      <w:r w:rsidR="000C7663">
        <w:t>ini</w:t>
      </w:r>
      <w:proofErr w:type="spellEnd"/>
      <w:r w:rsidR="00041A13">
        <w:t xml:space="preserve">. </w:t>
      </w:r>
    </w:p>
    <w:p w:rsidR="00ED0A44" w:rsidRDefault="00ED0A44" w:rsidP="00ED0A44">
      <w:pPr>
        <w:pStyle w:val="ListParagraph"/>
        <w:ind w:left="390"/>
      </w:pPr>
    </w:p>
    <w:p w:rsidR="00041A13" w:rsidRDefault="000C7663" w:rsidP="00041A13">
      <w:pPr>
        <w:pStyle w:val="ListParagraph"/>
        <w:numPr>
          <w:ilvl w:val="0"/>
          <w:numId w:val="3"/>
        </w:numPr>
      </w:pPr>
      <w:proofErr w:type="spellStart"/>
      <w:r>
        <w:t>Buka</w:t>
      </w:r>
      <w:r w:rsidR="00774F70">
        <w:t>lah</w:t>
      </w:r>
      <w:proofErr w:type="spellEnd"/>
      <w:r>
        <w:t xml:space="preserve"> file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ViewS</w:t>
      </w:r>
      <w:r w:rsidR="00FE0F91">
        <w:t>OL</w:t>
      </w:r>
      <w:proofErr w:type="spellEnd"/>
      <w:r w:rsidR="00FE0F91">
        <w:t xml:space="preserve">, </w:t>
      </w:r>
      <w:proofErr w:type="spellStart"/>
      <w:r w:rsidR="00FE0F91">
        <w:t>dan</w:t>
      </w:r>
      <w:proofErr w:type="spellEnd"/>
      <w:r w:rsidR="00FE0F91">
        <w:t xml:space="preserve"> </w:t>
      </w:r>
      <w:proofErr w:type="spellStart"/>
      <w:r w:rsidR="00FE0F91">
        <w:t>isilah</w:t>
      </w:r>
      <w:proofErr w:type="spellEnd"/>
      <w:r w:rsidR="00FE0F91">
        <w:t xml:space="preserve"> % change </w:t>
      </w:r>
      <w:proofErr w:type="spellStart"/>
      <w:r w:rsidR="00FE0F91">
        <w:t>dari</w:t>
      </w:r>
      <w:proofErr w:type="spellEnd"/>
      <w:r w:rsidR="00FE0F91">
        <w:t xml:space="preserve"> </w:t>
      </w:r>
      <w:proofErr w:type="spellStart"/>
      <w:r w:rsidR="00FE0F91">
        <w:t>variabel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CF638B" w:rsidRDefault="00CF638B" w:rsidP="00CF638B">
      <w:pPr>
        <w:pStyle w:val="ListParagraph"/>
        <w:ind w:left="390"/>
      </w:pPr>
    </w:p>
    <w:p w:rsidR="0036040D" w:rsidRDefault="0036040D" w:rsidP="00CF638B">
      <w:pPr>
        <w:pStyle w:val="ListParagraph"/>
        <w:ind w:left="390"/>
      </w:pPr>
    </w:p>
    <w:p w:rsidR="0036040D" w:rsidRDefault="0036040D" w:rsidP="00CF638B">
      <w:pPr>
        <w:pStyle w:val="ListParagraph"/>
        <w:ind w:left="390"/>
      </w:pPr>
    </w:p>
    <w:p w:rsidR="003973E7" w:rsidRDefault="007739E9" w:rsidP="00CF638B">
      <w:pPr>
        <w:pStyle w:val="ListParagraph"/>
        <w:ind w:left="390"/>
      </w:pPr>
      <w:r>
        <w:lastRenderedPageBreak/>
        <w:t>[</w:t>
      </w:r>
      <w:r w:rsidR="003973E7">
        <w:t>.</w:t>
      </w:r>
      <w:proofErr w:type="spellStart"/>
      <w:r w:rsidR="003973E7">
        <w:t>natmacro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6381"/>
        <w:gridCol w:w="2472"/>
      </w:tblGrid>
      <w:tr w:rsidR="00FE0F91" w:rsidTr="005E6F39">
        <w:tc>
          <w:tcPr>
            <w:tcW w:w="6381" w:type="dxa"/>
            <w:shd w:val="clear" w:color="auto" w:fill="D9D9D9" w:themeFill="background1" w:themeFillShade="D9"/>
          </w:tcPr>
          <w:p w:rsidR="00FE0F91" w:rsidRDefault="00FE0F91" w:rsidP="00CF638B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 w:rsidR="00953450">
              <w:t xml:space="preserve"> </w:t>
            </w:r>
            <w:proofErr w:type="spellStart"/>
            <w:r w:rsidR="00953450">
              <w:t>Nasional</w:t>
            </w:r>
            <w:proofErr w:type="spellEnd"/>
          </w:p>
        </w:tc>
        <w:tc>
          <w:tcPr>
            <w:tcW w:w="2472" w:type="dxa"/>
            <w:shd w:val="clear" w:color="auto" w:fill="D9D9D9" w:themeFill="background1" w:themeFillShade="D9"/>
          </w:tcPr>
          <w:p w:rsidR="00FE0F91" w:rsidRDefault="00FE0F91" w:rsidP="00CF638B">
            <w:pPr>
              <w:pStyle w:val="ListParagraph"/>
              <w:ind w:left="0"/>
            </w:pPr>
            <w:r>
              <w:t>% change</w:t>
            </w:r>
          </w:p>
        </w:tc>
      </w:tr>
      <w:tr w:rsidR="00FE0F91" w:rsidTr="006F14AD">
        <w:tc>
          <w:tcPr>
            <w:tcW w:w="6381" w:type="dxa"/>
          </w:tcPr>
          <w:p w:rsidR="00FE0F91" w:rsidRDefault="00844C6F" w:rsidP="00CF638B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2472" w:type="dxa"/>
          </w:tcPr>
          <w:p w:rsidR="00FE0F91" w:rsidRPr="00B6491F" w:rsidRDefault="00FE0F91" w:rsidP="00CF638B">
            <w:pPr>
              <w:pStyle w:val="ListParagraph"/>
              <w:ind w:left="0"/>
              <w:rPr>
                <w:color w:val="FF0000"/>
                <w:sz w:val="18"/>
              </w:rPr>
            </w:pPr>
          </w:p>
        </w:tc>
      </w:tr>
      <w:tr w:rsidR="00844C6F" w:rsidTr="006F14AD">
        <w:tc>
          <w:tcPr>
            <w:tcW w:w="6381" w:type="dxa"/>
          </w:tcPr>
          <w:p w:rsidR="00844C6F" w:rsidRDefault="00844C6F" w:rsidP="00CF638B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2472" w:type="dxa"/>
          </w:tcPr>
          <w:p w:rsidR="00844C6F" w:rsidRPr="00B6491F" w:rsidRDefault="00844C6F" w:rsidP="00CF638B">
            <w:pPr>
              <w:pStyle w:val="ListParagraph"/>
              <w:ind w:left="0"/>
              <w:rPr>
                <w:color w:val="FF0000"/>
                <w:sz w:val="18"/>
              </w:rPr>
            </w:pPr>
          </w:p>
        </w:tc>
      </w:tr>
      <w:tr w:rsidR="00FE0F91" w:rsidTr="006F14AD">
        <w:tc>
          <w:tcPr>
            <w:tcW w:w="6381" w:type="dxa"/>
          </w:tcPr>
          <w:p w:rsidR="00FE0F91" w:rsidRDefault="00844C6F" w:rsidP="00CF638B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2472" w:type="dxa"/>
          </w:tcPr>
          <w:p w:rsidR="00FE0F91" w:rsidRPr="00B6491F" w:rsidRDefault="00FE0F91" w:rsidP="00CF638B">
            <w:pPr>
              <w:pStyle w:val="ListParagraph"/>
              <w:ind w:left="0"/>
              <w:rPr>
                <w:color w:val="FF0000"/>
                <w:sz w:val="18"/>
              </w:rPr>
            </w:pPr>
          </w:p>
        </w:tc>
      </w:tr>
      <w:tr w:rsidR="00FE0F91" w:rsidTr="006F14AD">
        <w:tc>
          <w:tcPr>
            <w:tcW w:w="6381" w:type="dxa"/>
          </w:tcPr>
          <w:p w:rsidR="00FE0F91" w:rsidRDefault="00844C6F" w:rsidP="00CF638B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2472" w:type="dxa"/>
          </w:tcPr>
          <w:p w:rsidR="00FE0F91" w:rsidRPr="00B6491F" w:rsidRDefault="00FE0F91" w:rsidP="00CF638B">
            <w:pPr>
              <w:pStyle w:val="ListParagraph"/>
              <w:ind w:left="0"/>
              <w:rPr>
                <w:color w:val="FF0000"/>
                <w:sz w:val="18"/>
              </w:rPr>
            </w:pPr>
          </w:p>
        </w:tc>
      </w:tr>
      <w:tr w:rsidR="00FE0F91" w:rsidTr="006F14AD">
        <w:tc>
          <w:tcPr>
            <w:tcW w:w="6381" w:type="dxa"/>
          </w:tcPr>
          <w:p w:rsidR="00FE0F91" w:rsidRDefault="00844C6F" w:rsidP="00CF638B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2472" w:type="dxa"/>
          </w:tcPr>
          <w:p w:rsidR="00FE0F91" w:rsidRPr="00B6491F" w:rsidRDefault="00FE0F91" w:rsidP="00CF638B">
            <w:pPr>
              <w:pStyle w:val="ListParagraph"/>
              <w:ind w:left="0"/>
              <w:rPr>
                <w:color w:val="FF0000"/>
                <w:sz w:val="18"/>
              </w:rPr>
            </w:pPr>
          </w:p>
        </w:tc>
      </w:tr>
      <w:tr w:rsidR="00844C6F" w:rsidTr="006F14AD">
        <w:tc>
          <w:tcPr>
            <w:tcW w:w="6381" w:type="dxa"/>
          </w:tcPr>
          <w:p w:rsidR="00844C6F" w:rsidRDefault="0038244C" w:rsidP="0038244C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2472" w:type="dxa"/>
          </w:tcPr>
          <w:p w:rsidR="00844C6F" w:rsidRPr="00B6491F" w:rsidRDefault="00844C6F" w:rsidP="00CF638B">
            <w:pPr>
              <w:pStyle w:val="ListParagraph"/>
              <w:ind w:left="0"/>
              <w:rPr>
                <w:color w:val="FF0000"/>
                <w:sz w:val="18"/>
              </w:rPr>
            </w:pPr>
          </w:p>
        </w:tc>
      </w:tr>
      <w:tr w:rsidR="00C918B2" w:rsidTr="006F14AD">
        <w:tc>
          <w:tcPr>
            <w:tcW w:w="6381" w:type="dxa"/>
          </w:tcPr>
          <w:p w:rsidR="00C918B2" w:rsidRDefault="00C918B2" w:rsidP="0038244C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2472" w:type="dxa"/>
          </w:tcPr>
          <w:p w:rsidR="00C918B2" w:rsidRPr="00B6491F" w:rsidRDefault="00C918B2" w:rsidP="00CF638B">
            <w:pPr>
              <w:pStyle w:val="ListParagraph"/>
              <w:ind w:left="0"/>
              <w:rPr>
                <w:color w:val="FF0000"/>
                <w:sz w:val="18"/>
              </w:rPr>
            </w:pPr>
          </w:p>
        </w:tc>
      </w:tr>
    </w:tbl>
    <w:p w:rsidR="00CF638B" w:rsidRDefault="00CF638B" w:rsidP="00CF638B">
      <w:pPr>
        <w:pStyle w:val="ListParagraph"/>
        <w:ind w:left="390"/>
      </w:pPr>
    </w:p>
    <w:p w:rsidR="003973E7" w:rsidRDefault="007739E9" w:rsidP="00CF638B">
      <w:pPr>
        <w:pStyle w:val="ListParagraph"/>
        <w:ind w:left="390"/>
      </w:pPr>
      <w:r>
        <w:t>[</w:t>
      </w:r>
      <w:r w:rsidR="003973E7">
        <w:t>.</w:t>
      </w:r>
      <w:proofErr w:type="spellStart"/>
      <w:r w:rsidR="003973E7">
        <w:t>mainmacro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559"/>
        <w:gridCol w:w="1086"/>
        <w:gridCol w:w="654"/>
        <w:gridCol w:w="726"/>
        <w:gridCol w:w="624"/>
        <w:gridCol w:w="686"/>
        <w:gridCol w:w="608"/>
        <w:gridCol w:w="891"/>
        <w:gridCol w:w="717"/>
        <w:gridCol w:w="638"/>
        <w:gridCol w:w="664"/>
      </w:tblGrid>
      <w:tr w:rsidR="00DD1878" w:rsidTr="005235AA"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1878" w:rsidRPr="002405F8" w:rsidRDefault="00DD1878" w:rsidP="005F166D">
            <w:pPr>
              <w:pStyle w:val="ListParagraph"/>
              <w:ind w:left="0"/>
              <w:jc w:val="center"/>
              <w:rPr>
                <w:sz w:val="18"/>
              </w:rPr>
            </w:pPr>
            <w:proofErr w:type="spellStart"/>
            <w:r w:rsidRPr="002405F8">
              <w:rPr>
                <w:sz w:val="18"/>
              </w:rPr>
              <w:t>Indikator</w:t>
            </w:r>
            <w:proofErr w:type="spellEnd"/>
            <w:r w:rsidRPr="002405F8">
              <w:rPr>
                <w:sz w:val="18"/>
              </w:rPr>
              <w:t xml:space="preserve"> </w:t>
            </w:r>
            <w:proofErr w:type="spellStart"/>
            <w:r w:rsidRPr="002405F8">
              <w:rPr>
                <w:sz w:val="18"/>
              </w:rPr>
              <w:t>Makro</w:t>
            </w:r>
            <w:proofErr w:type="spellEnd"/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1878" w:rsidRPr="002405F8" w:rsidRDefault="00DD1878" w:rsidP="005F166D">
            <w:pPr>
              <w:pStyle w:val="ListParagraph"/>
              <w:ind w:left="0"/>
              <w:jc w:val="center"/>
              <w:rPr>
                <w:sz w:val="18"/>
              </w:rPr>
            </w:pPr>
            <w:r w:rsidRPr="002405F8">
              <w:rPr>
                <w:sz w:val="18"/>
              </w:rPr>
              <w:t>% change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KALBAR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KALTENG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KALSEL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KALTIM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SULUT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GORONTALO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SULTENG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SULSEL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1878" w:rsidRPr="00DD1878" w:rsidRDefault="00DD1878" w:rsidP="005235AA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SULTRA</w:t>
            </w:r>
          </w:p>
        </w:tc>
      </w:tr>
      <w:tr w:rsidR="00236B49" w:rsidTr="00236B49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236B49" w:rsidTr="00236B49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236B49" w:rsidTr="00236B49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236B49" w:rsidTr="00AC5A58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236B49" w:rsidTr="00AC5A58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236B49" w:rsidTr="00AC5A58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236B49" w:rsidTr="00DA4D96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236B49" w:rsidRDefault="00236B49" w:rsidP="00621AAA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236B49" w:rsidRPr="00D33B09" w:rsidRDefault="00236B49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CF638B" w:rsidRDefault="00CF638B" w:rsidP="00CF638B">
      <w:pPr>
        <w:pStyle w:val="ListParagraph"/>
        <w:ind w:left="390"/>
      </w:pPr>
    </w:p>
    <w:p w:rsidR="002500C3" w:rsidRDefault="002500C3" w:rsidP="002500C3">
      <w:pPr>
        <w:pStyle w:val="ListParagraph"/>
        <w:ind w:left="390"/>
      </w:pPr>
      <w:r>
        <w:t>[</w:t>
      </w:r>
      <w:r w:rsidR="004D1321">
        <w:t>.</w:t>
      </w:r>
      <w:proofErr w:type="spellStart"/>
      <w:r w:rsidR="004D1321">
        <w:t>xtot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14"/>
        <w:gridCol w:w="888"/>
        <w:gridCol w:w="727"/>
        <w:gridCol w:w="811"/>
        <w:gridCol w:w="692"/>
        <w:gridCol w:w="710"/>
        <w:gridCol w:w="625"/>
        <w:gridCol w:w="1004"/>
        <w:gridCol w:w="796"/>
        <w:gridCol w:w="677"/>
        <w:gridCol w:w="709"/>
      </w:tblGrid>
      <w:tr w:rsidR="00E65CB6" w:rsidTr="00E65CB6"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0C3" w:rsidRPr="00E65CB6" w:rsidRDefault="004D1321" w:rsidP="003F3C33">
            <w:pPr>
              <w:pStyle w:val="ListParagraph"/>
              <w:ind w:left="0"/>
              <w:jc w:val="center"/>
              <w:rPr>
                <w:sz w:val="14"/>
              </w:rPr>
            </w:pPr>
            <w:proofErr w:type="spellStart"/>
            <w:r w:rsidRPr="00E65CB6">
              <w:rPr>
                <w:sz w:val="14"/>
              </w:rPr>
              <w:t>Indikator</w:t>
            </w:r>
            <w:proofErr w:type="spellEnd"/>
            <w:r w:rsidRPr="00E65CB6">
              <w:rPr>
                <w:sz w:val="14"/>
              </w:rPr>
              <w:t xml:space="preserve"> </w:t>
            </w:r>
            <w:r w:rsidR="004D1F9B" w:rsidRPr="00E65CB6">
              <w:rPr>
                <w:sz w:val="14"/>
              </w:rPr>
              <w:t>total output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0C3" w:rsidRPr="00E65CB6" w:rsidRDefault="002500C3" w:rsidP="003F3C33">
            <w:pPr>
              <w:pStyle w:val="ListParagraph"/>
              <w:ind w:left="0"/>
              <w:jc w:val="center"/>
              <w:rPr>
                <w:sz w:val="14"/>
              </w:rPr>
            </w:pPr>
            <w:r w:rsidRPr="00E65CB6">
              <w:rPr>
                <w:sz w:val="14"/>
              </w:rPr>
              <w:t>% change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KALBAR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KALTENG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KALSEL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KALTIM</w:t>
            </w: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SULUT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GORONTALO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SULTENG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SULSEL</w:t>
            </w: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0C3" w:rsidRPr="00E65CB6" w:rsidRDefault="002500C3" w:rsidP="00E65CB6">
            <w:pPr>
              <w:pStyle w:val="ListParagraph"/>
              <w:ind w:left="0"/>
              <w:jc w:val="center"/>
              <w:rPr>
                <w:sz w:val="14"/>
                <w:szCs w:val="12"/>
              </w:rPr>
            </w:pPr>
            <w:r w:rsidRPr="00E65CB6">
              <w:rPr>
                <w:sz w:val="14"/>
                <w:szCs w:val="12"/>
              </w:rPr>
              <w:t>SULTRA</w:t>
            </w:r>
          </w:p>
        </w:tc>
      </w:tr>
      <w:tr w:rsidR="00045E8A" w:rsidTr="003F3C33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045E8A" w:rsidRDefault="00045E8A" w:rsidP="003F3C33">
            <w:pPr>
              <w:pStyle w:val="ListParagraph"/>
              <w:ind w:left="0"/>
            </w:pPr>
            <w:r>
              <w:t>Other Mineral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045E8A" w:rsidTr="003F3C33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045E8A" w:rsidRDefault="00045E8A" w:rsidP="003F3C33">
            <w:pPr>
              <w:pStyle w:val="ListParagraph"/>
              <w:ind w:left="0"/>
            </w:pPr>
            <w:r>
              <w:t>Basic Metal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045E8A" w:rsidTr="003F3C33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045E8A" w:rsidRDefault="00045E8A" w:rsidP="003F3C33">
            <w:pPr>
              <w:pStyle w:val="ListParagraph"/>
              <w:ind w:left="0"/>
            </w:pPr>
            <w:r>
              <w:t>Metal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045E8A" w:rsidTr="003F3C33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045E8A" w:rsidRDefault="00045E8A" w:rsidP="003F3C33">
            <w:pPr>
              <w:pStyle w:val="ListParagraph"/>
              <w:ind w:left="0"/>
            </w:pPr>
            <w:r>
              <w:t>Machine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045E8A" w:rsidTr="003F3C33"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045E8A" w:rsidRDefault="00045E8A" w:rsidP="003F3C33">
            <w:pPr>
              <w:pStyle w:val="ListParagraph"/>
              <w:ind w:left="0"/>
            </w:pPr>
            <w:r>
              <w:t>Vehicle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vAlign w:val="bottom"/>
          </w:tcPr>
          <w:p w:rsidR="00045E8A" w:rsidRPr="00045E8A" w:rsidRDefault="00045E8A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</w:tbl>
    <w:p w:rsidR="00ED0A44" w:rsidRDefault="00ED0A44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BC1B8F" w:rsidRDefault="00BC1B8F" w:rsidP="00CF638B">
      <w:pPr>
        <w:pStyle w:val="ListParagraph"/>
        <w:ind w:left="390"/>
      </w:pPr>
    </w:p>
    <w:p w:rsidR="00D07189" w:rsidRDefault="00D07189" w:rsidP="00CF638B">
      <w:pPr>
        <w:pStyle w:val="ListParagraph"/>
        <w:ind w:left="390"/>
      </w:pPr>
      <w:r>
        <w:t>[.</w:t>
      </w:r>
      <w:proofErr w:type="spellStart"/>
      <w:r>
        <w:t>xinvtot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309"/>
        <w:gridCol w:w="975"/>
        <w:gridCol w:w="717"/>
        <w:gridCol w:w="726"/>
        <w:gridCol w:w="717"/>
        <w:gridCol w:w="717"/>
        <w:gridCol w:w="717"/>
        <w:gridCol w:w="891"/>
        <w:gridCol w:w="717"/>
        <w:gridCol w:w="717"/>
        <w:gridCol w:w="650"/>
      </w:tblGrid>
      <w:tr w:rsidR="003A4321" w:rsidRPr="00DD1878" w:rsidTr="00303E2E"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4321" w:rsidRPr="003A4321" w:rsidRDefault="003A4321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3A4321">
              <w:rPr>
                <w:sz w:val="16"/>
              </w:rPr>
              <w:t>Indikator</w:t>
            </w:r>
            <w:proofErr w:type="spellEnd"/>
            <w:r w:rsidRPr="003A4321">
              <w:rPr>
                <w:sz w:val="16"/>
              </w:rPr>
              <w:t xml:space="preserve"> </w:t>
            </w:r>
            <w:r w:rsidRPr="003A4321">
              <w:rPr>
                <w:sz w:val="16"/>
              </w:rPr>
              <w:t>total inv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4321" w:rsidRPr="003A4321" w:rsidRDefault="003A4321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3A4321">
              <w:rPr>
                <w:sz w:val="16"/>
              </w:rPr>
              <w:t>% change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KALBAR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KALTENG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KALSEL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KALTIM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SULUT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GORONTALO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SULTENG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SULSEL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SULTRA</w:t>
            </w:r>
          </w:p>
        </w:tc>
      </w:tr>
      <w:tr w:rsidR="00D07189" w:rsidRPr="00045E8A" w:rsidTr="00D07189"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D07189" w:rsidRDefault="00D07189" w:rsidP="003F3C33">
            <w:pPr>
              <w:pStyle w:val="ListParagraph"/>
              <w:ind w:left="0"/>
            </w:pPr>
            <w:r>
              <w:t>Other Mineral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D07189" w:rsidRPr="00045E8A" w:rsidTr="00D07189"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D07189" w:rsidRDefault="00D07189" w:rsidP="003F3C33">
            <w:pPr>
              <w:pStyle w:val="ListParagraph"/>
              <w:ind w:left="0"/>
            </w:pPr>
            <w:r>
              <w:t>Basic 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D07189" w:rsidRPr="00045E8A" w:rsidTr="00D07189"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D07189" w:rsidRDefault="00D07189" w:rsidP="003F3C33">
            <w:pPr>
              <w:pStyle w:val="ListParagraph"/>
              <w:ind w:left="0"/>
            </w:pPr>
            <w:r>
              <w:t>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D07189" w:rsidRPr="00045E8A" w:rsidTr="00D07189"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D07189" w:rsidRDefault="00D07189" w:rsidP="003F3C33">
            <w:pPr>
              <w:pStyle w:val="ListParagraph"/>
              <w:ind w:left="0"/>
            </w:pPr>
            <w:r>
              <w:t>Machine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D07189" w:rsidRPr="00045E8A" w:rsidTr="00D07189">
        <w:tc>
          <w:tcPr>
            <w:tcW w:w="2284" w:type="dxa"/>
            <w:gridSpan w:val="2"/>
            <w:tcBorders>
              <w:right w:val="single" w:sz="4" w:space="0" w:color="auto"/>
            </w:tcBorders>
          </w:tcPr>
          <w:p w:rsidR="00D07189" w:rsidRDefault="00D07189" w:rsidP="003F3C33">
            <w:pPr>
              <w:pStyle w:val="ListParagraph"/>
              <w:ind w:left="0"/>
            </w:pPr>
            <w:r>
              <w:t>Vehicle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bottom"/>
          </w:tcPr>
          <w:p w:rsidR="00D07189" w:rsidRPr="00D07189" w:rsidRDefault="00D07189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</w:tbl>
    <w:p w:rsidR="004777CB" w:rsidRDefault="004777CB" w:rsidP="00CF638B">
      <w:pPr>
        <w:pStyle w:val="ListParagraph"/>
        <w:ind w:left="390"/>
      </w:pPr>
    </w:p>
    <w:p w:rsidR="00131D96" w:rsidRDefault="00131D96" w:rsidP="00131D96">
      <w:pPr>
        <w:pStyle w:val="ListParagraph"/>
        <w:ind w:left="390"/>
      </w:pPr>
      <w:r>
        <w:t>[.</w:t>
      </w:r>
      <w:proofErr w:type="spellStart"/>
      <w:r>
        <w:t>xexp_s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78"/>
        <w:gridCol w:w="961"/>
        <w:gridCol w:w="717"/>
        <w:gridCol w:w="726"/>
        <w:gridCol w:w="717"/>
        <w:gridCol w:w="717"/>
        <w:gridCol w:w="695"/>
        <w:gridCol w:w="891"/>
        <w:gridCol w:w="717"/>
        <w:gridCol w:w="717"/>
        <w:gridCol w:w="717"/>
      </w:tblGrid>
      <w:tr w:rsidR="003A4321" w:rsidRPr="00DD1878" w:rsidTr="001B6AF9">
        <w:tc>
          <w:tcPr>
            <w:tcW w:w="12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4321" w:rsidRPr="00F6131E" w:rsidRDefault="003A4321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</w:t>
            </w:r>
            <w:r w:rsidRPr="00F6131E">
              <w:rPr>
                <w:sz w:val="16"/>
              </w:rPr>
              <w:t>export demand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4321" w:rsidRPr="00F6131E" w:rsidRDefault="003A4321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F6131E">
              <w:rPr>
                <w:sz w:val="16"/>
              </w:rPr>
              <w:t>% change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KALBAR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KALTENG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KALSEL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KALTIM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SULUT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GORONTALO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SULTENG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SULSEL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21" w:rsidRPr="00DD1878" w:rsidRDefault="003A432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SULTRA</w:t>
            </w:r>
          </w:p>
        </w:tc>
      </w:tr>
      <w:tr w:rsidR="00131D96" w:rsidRPr="00045E8A" w:rsidTr="00131D96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131D96" w:rsidRDefault="00131D96" w:rsidP="003F3C33">
            <w:pPr>
              <w:pStyle w:val="ListParagraph"/>
              <w:ind w:left="0"/>
            </w:pPr>
            <w:r>
              <w:t>Other Mineral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131D96" w:rsidRPr="00045E8A" w:rsidTr="00131D96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131D96" w:rsidRDefault="00131D96" w:rsidP="003F3C33">
            <w:pPr>
              <w:pStyle w:val="ListParagraph"/>
              <w:ind w:left="0"/>
            </w:pPr>
            <w:r>
              <w:t>Basic 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131D96" w:rsidRPr="00045E8A" w:rsidTr="00131D96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131D96" w:rsidRDefault="00131D96" w:rsidP="003F3C33">
            <w:pPr>
              <w:pStyle w:val="ListParagraph"/>
              <w:ind w:left="0"/>
            </w:pPr>
            <w:r>
              <w:t>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131D96" w:rsidRPr="00045E8A" w:rsidTr="00131D96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131D96" w:rsidRDefault="00131D96" w:rsidP="003F3C33">
            <w:pPr>
              <w:pStyle w:val="ListParagraph"/>
              <w:ind w:left="0"/>
            </w:pPr>
            <w:r>
              <w:t>Machine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131D96" w:rsidRPr="00045E8A" w:rsidTr="00131D96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131D96" w:rsidRDefault="00131D96" w:rsidP="003F3C33">
            <w:pPr>
              <w:pStyle w:val="ListParagraph"/>
              <w:ind w:left="0"/>
            </w:pPr>
            <w:r>
              <w:t>Vehicle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131D96" w:rsidRPr="00131D96" w:rsidRDefault="00131D96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</w:tbl>
    <w:p w:rsidR="004777CB" w:rsidRDefault="004777CB" w:rsidP="00CF638B">
      <w:pPr>
        <w:pStyle w:val="ListParagraph"/>
        <w:ind w:left="390"/>
      </w:pPr>
    </w:p>
    <w:p w:rsidR="0036040D" w:rsidRDefault="0036040D" w:rsidP="005C214B">
      <w:pPr>
        <w:pStyle w:val="ListParagraph"/>
        <w:ind w:left="390"/>
      </w:pPr>
    </w:p>
    <w:p w:rsidR="005C214B" w:rsidRDefault="005C214B" w:rsidP="005C214B">
      <w:pPr>
        <w:pStyle w:val="ListParagraph"/>
        <w:ind w:left="390"/>
      </w:pPr>
      <w:r>
        <w:lastRenderedPageBreak/>
        <w:t>[.</w:t>
      </w:r>
      <w:proofErr w:type="spellStart"/>
      <w:r>
        <w:t>xlab_o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78"/>
        <w:gridCol w:w="961"/>
        <w:gridCol w:w="717"/>
        <w:gridCol w:w="726"/>
        <w:gridCol w:w="717"/>
        <w:gridCol w:w="717"/>
        <w:gridCol w:w="695"/>
        <w:gridCol w:w="891"/>
        <w:gridCol w:w="717"/>
        <w:gridCol w:w="717"/>
        <w:gridCol w:w="717"/>
      </w:tblGrid>
      <w:tr w:rsidR="005C214B" w:rsidRPr="00DD1878" w:rsidTr="003A4321">
        <w:tc>
          <w:tcPr>
            <w:tcW w:w="12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214B" w:rsidRPr="00F6131E" w:rsidRDefault="005C214B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</w:t>
            </w:r>
            <w:r w:rsidR="00F6131E" w:rsidRPr="00F6131E">
              <w:rPr>
                <w:sz w:val="16"/>
              </w:rPr>
              <w:t>labor demand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C214B" w:rsidRPr="00F6131E" w:rsidRDefault="005C214B" w:rsidP="003F3C33">
            <w:pPr>
              <w:pStyle w:val="ListParagraph"/>
              <w:ind w:left="0"/>
              <w:jc w:val="center"/>
              <w:rPr>
                <w:sz w:val="18"/>
              </w:rPr>
            </w:pPr>
            <w:r w:rsidRPr="00F6131E">
              <w:rPr>
                <w:sz w:val="18"/>
              </w:rPr>
              <w:t>% change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KALBAR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KALTENG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KALSEL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KALTIM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SULUT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GORONTALO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SULTENG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SULSEL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14B" w:rsidRPr="00DD1878" w:rsidRDefault="005C214B" w:rsidP="003A4321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 w:rsidRPr="00DD1878">
              <w:rPr>
                <w:sz w:val="12"/>
                <w:szCs w:val="12"/>
              </w:rPr>
              <w:t>SULTRA</w:t>
            </w:r>
          </w:p>
        </w:tc>
      </w:tr>
      <w:tr w:rsidR="00F6131E" w:rsidRPr="00045E8A" w:rsidTr="003F3C33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F6131E" w:rsidRDefault="00F6131E" w:rsidP="003F3C33">
            <w:pPr>
              <w:pStyle w:val="ListParagraph"/>
              <w:ind w:left="0"/>
            </w:pPr>
            <w:r>
              <w:t>Other Mineral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F6131E" w:rsidRPr="00045E8A" w:rsidTr="003F3C33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F6131E" w:rsidRDefault="00F6131E" w:rsidP="003F3C33">
            <w:pPr>
              <w:pStyle w:val="ListParagraph"/>
              <w:ind w:left="0"/>
            </w:pPr>
            <w:r>
              <w:t>Basic 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F6131E" w:rsidRPr="00045E8A" w:rsidTr="003F3C33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F6131E" w:rsidRDefault="00F6131E" w:rsidP="003F3C33">
            <w:pPr>
              <w:pStyle w:val="ListParagraph"/>
              <w:ind w:left="0"/>
            </w:pPr>
            <w:r>
              <w:t>Metal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F6131E" w:rsidRPr="00045E8A" w:rsidTr="003F3C33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F6131E" w:rsidRDefault="00F6131E" w:rsidP="003F3C33">
            <w:pPr>
              <w:pStyle w:val="ListParagraph"/>
              <w:ind w:left="0"/>
            </w:pPr>
            <w:r>
              <w:t>Machine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  <w:tr w:rsidR="00F6131E" w:rsidRPr="00045E8A" w:rsidTr="003F3C33">
        <w:tc>
          <w:tcPr>
            <w:tcW w:w="2239" w:type="dxa"/>
            <w:gridSpan w:val="2"/>
            <w:tcBorders>
              <w:right w:val="single" w:sz="4" w:space="0" w:color="auto"/>
            </w:tcBorders>
          </w:tcPr>
          <w:p w:rsidR="00F6131E" w:rsidRDefault="00F6131E" w:rsidP="003F3C33">
            <w:pPr>
              <w:pStyle w:val="ListParagraph"/>
              <w:ind w:left="0"/>
            </w:pPr>
            <w:r>
              <w:t>Vehicle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F6131E" w:rsidRPr="00F6131E" w:rsidRDefault="00F6131E">
            <w:pPr>
              <w:jc w:val="right"/>
              <w:rPr>
                <w:rFonts w:ascii="Calibri" w:hAnsi="Calibri" w:cs="Calibri"/>
                <w:color w:val="FF0000"/>
                <w:sz w:val="18"/>
              </w:rPr>
            </w:pPr>
          </w:p>
        </w:tc>
      </w:tr>
    </w:tbl>
    <w:p w:rsidR="00762BA7" w:rsidRDefault="00762BA7" w:rsidP="00CF638B">
      <w:pPr>
        <w:pStyle w:val="ListParagraph"/>
        <w:ind w:left="390"/>
      </w:pPr>
    </w:p>
    <w:p w:rsidR="004D6263" w:rsidRDefault="004D6263" w:rsidP="00CF638B">
      <w:pPr>
        <w:pStyle w:val="ListParagraph"/>
        <w:ind w:left="390"/>
      </w:pPr>
    </w:p>
    <w:p w:rsidR="004D6263" w:rsidRDefault="004D6263" w:rsidP="00CF638B">
      <w:pPr>
        <w:pStyle w:val="ListParagraph"/>
        <w:ind w:left="390"/>
      </w:pPr>
    </w:p>
    <w:p w:rsidR="00FF5A40" w:rsidRDefault="007E3116" w:rsidP="009B23D4">
      <w:pPr>
        <w:pStyle w:val="ListParagraph"/>
        <w:numPr>
          <w:ilvl w:val="0"/>
          <w:numId w:val="3"/>
        </w:numPr>
      </w:pPr>
      <w:proofErr w:type="spellStart"/>
      <w:r>
        <w:t>T</w:t>
      </w:r>
      <w:r w:rsidR="00F77120">
        <w:t>entukan</w:t>
      </w:r>
      <w:proofErr w:type="spellEnd"/>
      <w:r w:rsidR="00F77120">
        <w:t xml:space="preserve"> </w:t>
      </w:r>
      <w:proofErr w:type="spellStart"/>
      <w:r w:rsidR="00F77120">
        <w:t>dampak</w:t>
      </w:r>
      <w:proofErr w:type="spellEnd"/>
      <w:r w:rsidR="00F77120">
        <w:t xml:space="preserve"> </w:t>
      </w:r>
      <w:proofErr w:type="spellStart"/>
      <w:r w:rsidR="00F77120">
        <w:t>simulasi</w:t>
      </w:r>
      <w:proofErr w:type="spellEnd"/>
      <w:r w:rsidR="00F77120">
        <w:t xml:space="preserve"> </w:t>
      </w:r>
      <w:proofErr w:type="spellStart"/>
      <w:r w:rsidR="00F77120">
        <w:t>pada</w:t>
      </w:r>
      <w:proofErr w:type="spellEnd"/>
      <w:r w:rsidR="00F77120">
        <w:t xml:space="preserve"> </w:t>
      </w:r>
      <w:proofErr w:type="spellStart"/>
      <w:r w:rsidR="00F77120">
        <w:t>kemiskinan</w:t>
      </w:r>
      <w:proofErr w:type="spellEnd"/>
      <w:r w:rsidR="00305630">
        <w:t>?</w:t>
      </w:r>
    </w:p>
    <w:p w:rsidR="00F77120" w:rsidRDefault="00F77120" w:rsidP="00F77120">
      <w:pPr>
        <w:pStyle w:val="ListParagraph"/>
        <w:ind w:left="390"/>
      </w:pPr>
    </w:p>
    <w:tbl>
      <w:tblPr>
        <w:tblW w:w="0" w:type="auto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924"/>
        <w:gridCol w:w="605"/>
        <w:gridCol w:w="605"/>
        <w:gridCol w:w="725"/>
        <w:gridCol w:w="725"/>
        <w:gridCol w:w="913"/>
      </w:tblGrid>
      <w:tr w:rsidR="003A4E92" w:rsidRPr="003A4E92" w:rsidTr="008216CB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Population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proofErr w:type="gramStart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Change(</w:t>
            </w:r>
            <w:proofErr w:type="gramEnd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%)</w:t>
            </w:r>
          </w:p>
        </w:tc>
      </w:tr>
      <w:tr w:rsidR="003A4E92" w:rsidRPr="003A4E92" w:rsidTr="008216CB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SUMATERA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8216CB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JAWA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8216CB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KALIMANTAN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8216CB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SULAWESI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8216CB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BALINUSATENGGARA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8216CB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INDONESIATIMUR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3A4E92" w:rsidRPr="003A4E92" w:rsidTr="008216CB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A4E92" w:rsidRPr="003A4E92" w:rsidRDefault="003A4E92" w:rsidP="003A4E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3A4E92" w:rsidRDefault="003A4E92" w:rsidP="00F77120">
      <w:pPr>
        <w:pStyle w:val="ListParagraph"/>
        <w:ind w:left="390"/>
      </w:pPr>
    </w:p>
    <w:p w:rsidR="00F77120" w:rsidRDefault="00F77120" w:rsidP="00F77120">
      <w:pPr>
        <w:pStyle w:val="ListParagraph"/>
        <w:ind w:left="390"/>
      </w:pPr>
    </w:p>
    <w:p w:rsidR="00504EB5" w:rsidRDefault="00504EB5" w:rsidP="009B23D4">
      <w:pPr>
        <w:pStyle w:val="ListParagraph"/>
        <w:numPr>
          <w:ilvl w:val="0"/>
          <w:numId w:val="3"/>
        </w:numPr>
      </w:pPr>
      <w:proofErr w:type="spellStart"/>
      <w:r>
        <w:t>Coba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r w:rsidR="004D2B0C">
        <w:t xml:space="preserve">plot </w:t>
      </w:r>
      <w:proofErr w:type="spellStart"/>
      <w:r w:rsidR="004D2B0C">
        <w:t>gambar</w:t>
      </w:r>
      <w:proofErr w:type="spellEnd"/>
      <w:r w:rsidR="004D2B0C">
        <w:t xml:space="preserve"> </w:t>
      </w:r>
      <w:proofErr w:type="spellStart"/>
      <w:r w:rsidR="004D2B0C">
        <w:t>hasil</w:t>
      </w:r>
      <w:proofErr w:type="spellEnd"/>
      <w:r w:rsidR="004D2B0C">
        <w:t xml:space="preserve"> </w:t>
      </w:r>
      <w:proofErr w:type="spellStart"/>
      <w:r w:rsidR="004D2B0C">
        <w:t>simulasi</w:t>
      </w:r>
      <w:proofErr w:type="spellEnd"/>
      <w:r w:rsidR="004D2B0C">
        <w:t xml:space="preserve"> </w:t>
      </w:r>
      <w:proofErr w:type="spellStart"/>
      <w:r w:rsidR="00B274EC">
        <w:t>suatu</w:t>
      </w:r>
      <w:proofErr w:type="spellEnd"/>
      <w:r w:rsidR="00B274EC">
        <w:t xml:space="preserve"> </w:t>
      </w:r>
      <w:proofErr w:type="spellStart"/>
      <w:r w:rsidR="00B274EC">
        <w:t>variabel</w:t>
      </w:r>
      <w:proofErr w:type="spellEnd"/>
      <w:r w:rsidR="00B274EC">
        <w:t>?</w:t>
      </w:r>
      <w:r w:rsidR="00D176F2">
        <w:t xml:space="preserve"> </w:t>
      </w:r>
      <w:proofErr w:type="spellStart"/>
      <w:r w:rsidR="00B80FB8">
        <w:t>Coba</w:t>
      </w:r>
      <w:proofErr w:type="spellEnd"/>
      <w:r w:rsidR="00B80FB8">
        <w:t xml:space="preserve"> </w:t>
      </w:r>
      <w:proofErr w:type="spellStart"/>
      <w:r w:rsidR="00B80FB8">
        <w:t>analisis</w:t>
      </w:r>
      <w:proofErr w:type="spellEnd"/>
      <w:r w:rsidR="00B80FB8">
        <w:t xml:space="preserve">. </w:t>
      </w:r>
    </w:p>
    <w:p w:rsidR="00504EB5" w:rsidRDefault="00504EB5" w:rsidP="00504EB5">
      <w:pPr>
        <w:pStyle w:val="ListParagraph"/>
        <w:ind w:left="390"/>
      </w:pPr>
    </w:p>
    <w:p w:rsidR="00504EB5" w:rsidRDefault="00504EB5" w:rsidP="00504EB5">
      <w:pPr>
        <w:pStyle w:val="ListParagraph"/>
        <w:ind w:left="390"/>
      </w:pPr>
    </w:p>
    <w:p w:rsidR="00F77120" w:rsidRDefault="00F77120" w:rsidP="009B23D4">
      <w:pPr>
        <w:pStyle w:val="ListParagraph"/>
        <w:numPr>
          <w:ilvl w:val="0"/>
          <w:numId w:val="3"/>
        </w:numPr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simpulkan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:rsidR="00F77120" w:rsidRDefault="00F77120" w:rsidP="00F77120"/>
    <w:p w:rsidR="00E12F3D" w:rsidRDefault="00E12F3D" w:rsidP="00E12F3D">
      <w:pPr>
        <w:pStyle w:val="ListParagraph"/>
        <w:ind w:left="390"/>
      </w:pPr>
    </w:p>
    <w:p w:rsidR="00E12F3D" w:rsidRDefault="00E12F3D" w:rsidP="00E12F3D">
      <w:pPr>
        <w:pStyle w:val="ListParagraph"/>
        <w:ind w:left="390"/>
      </w:pPr>
    </w:p>
    <w:p w:rsidR="00F77120" w:rsidRDefault="00F77120" w:rsidP="00E12F3D">
      <w:pPr>
        <w:pStyle w:val="ListParagraph"/>
        <w:ind w:left="390"/>
      </w:pPr>
    </w:p>
    <w:p w:rsidR="00884210" w:rsidRDefault="00884210" w:rsidP="00E12F3D">
      <w:pPr>
        <w:pStyle w:val="ListParagraph"/>
        <w:ind w:left="390"/>
      </w:pPr>
    </w:p>
    <w:p w:rsidR="00884210" w:rsidRDefault="00884210" w:rsidP="00E12F3D">
      <w:pPr>
        <w:pStyle w:val="ListParagraph"/>
        <w:ind w:left="390"/>
      </w:pPr>
    </w:p>
    <w:p w:rsidR="00884210" w:rsidRDefault="00884210" w:rsidP="00E12F3D">
      <w:pPr>
        <w:pStyle w:val="ListParagraph"/>
        <w:ind w:left="390"/>
      </w:pPr>
    </w:p>
    <w:p w:rsidR="00F77120" w:rsidRDefault="00F77120" w:rsidP="00E12F3D">
      <w:pPr>
        <w:pStyle w:val="ListParagraph"/>
        <w:ind w:left="390"/>
      </w:pPr>
    </w:p>
    <w:p w:rsidR="00BC1B8F" w:rsidRDefault="00BC1B8F" w:rsidP="00E12F3D">
      <w:pPr>
        <w:pStyle w:val="ListParagraph"/>
        <w:ind w:left="390"/>
      </w:pPr>
    </w:p>
    <w:p w:rsidR="00BC1B8F" w:rsidRDefault="00BC1B8F" w:rsidP="00E12F3D">
      <w:pPr>
        <w:pStyle w:val="ListParagraph"/>
        <w:ind w:left="390"/>
      </w:pPr>
    </w:p>
    <w:p w:rsidR="00BC1B8F" w:rsidRDefault="00BC1B8F" w:rsidP="00E12F3D">
      <w:pPr>
        <w:pStyle w:val="ListParagraph"/>
        <w:ind w:left="390"/>
      </w:pPr>
    </w:p>
    <w:p w:rsidR="00BC1B8F" w:rsidRDefault="00BC1B8F" w:rsidP="00E12F3D">
      <w:pPr>
        <w:pStyle w:val="ListParagraph"/>
        <w:ind w:left="390"/>
      </w:pPr>
    </w:p>
    <w:p w:rsidR="00A32F10" w:rsidRDefault="00A32F10" w:rsidP="00E12F3D">
      <w:pPr>
        <w:pStyle w:val="ListParagraph"/>
        <w:ind w:left="390"/>
      </w:pPr>
    </w:p>
    <w:p w:rsidR="00A32F10" w:rsidRDefault="00A32F10" w:rsidP="00E12F3D">
      <w:pPr>
        <w:pStyle w:val="ListParagraph"/>
        <w:ind w:left="390"/>
      </w:pPr>
    </w:p>
    <w:p w:rsidR="00A32F10" w:rsidRDefault="00A32F10" w:rsidP="00E12F3D">
      <w:pPr>
        <w:pStyle w:val="ListParagraph"/>
        <w:ind w:left="390"/>
      </w:pPr>
    </w:p>
    <w:p w:rsidR="00A32F10" w:rsidRDefault="00A32F10" w:rsidP="00E12F3D">
      <w:pPr>
        <w:pStyle w:val="ListParagraph"/>
        <w:ind w:left="390"/>
      </w:pPr>
    </w:p>
    <w:p w:rsidR="00A32F10" w:rsidRDefault="00A32F10" w:rsidP="00E12F3D">
      <w:pPr>
        <w:pStyle w:val="ListParagraph"/>
        <w:ind w:left="390"/>
      </w:pPr>
    </w:p>
    <w:p w:rsidR="00A32F10" w:rsidRDefault="00A32F10" w:rsidP="00E12F3D">
      <w:pPr>
        <w:pStyle w:val="ListParagraph"/>
        <w:ind w:left="390"/>
      </w:pPr>
    </w:p>
    <w:p w:rsidR="00BC1B8F" w:rsidRDefault="00BC1B8F" w:rsidP="00E12F3D">
      <w:pPr>
        <w:pStyle w:val="ListParagraph"/>
        <w:ind w:left="390"/>
      </w:pPr>
    </w:p>
    <w:sectPr w:rsidR="00BC1B8F" w:rsidSect="004A6C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AAA"/>
    <w:multiLevelType w:val="hybridMultilevel"/>
    <w:tmpl w:val="4C50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155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D035BE0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1383A17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F21434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B6E7869"/>
    <w:multiLevelType w:val="hybridMultilevel"/>
    <w:tmpl w:val="87B4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6C9D"/>
    <w:rsid w:val="000217A4"/>
    <w:rsid w:val="00021BFC"/>
    <w:rsid w:val="00026109"/>
    <w:rsid w:val="00041A13"/>
    <w:rsid w:val="00045E8A"/>
    <w:rsid w:val="00065E7C"/>
    <w:rsid w:val="00067901"/>
    <w:rsid w:val="000C7663"/>
    <w:rsid w:val="000D7887"/>
    <w:rsid w:val="000F39AF"/>
    <w:rsid w:val="000F48D9"/>
    <w:rsid w:val="000F616C"/>
    <w:rsid w:val="0010429B"/>
    <w:rsid w:val="00114802"/>
    <w:rsid w:val="00131D96"/>
    <w:rsid w:val="00152141"/>
    <w:rsid w:val="00194C64"/>
    <w:rsid w:val="001C308D"/>
    <w:rsid w:val="001E6152"/>
    <w:rsid w:val="00206242"/>
    <w:rsid w:val="00223F34"/>
    <w:rsid w:val="00224A31"/>
    <w:rsid w:val="00236B49"/>
    <w:rsid w:val="002405F8"/>
    <w:rsid w:val="002500C3"/>
    <w:rsid w:val="002839DB"/>
    <w:rsid w:val="00290EE0"/>
    <w:rsid w:val="002A79ED"/>
    <w:rsid w:val="002B3490"/>
    <w:rsid w:val="002C2C5B"/>
    <w:rsid w:val="002D68D3"/>
    <w:rsid w:val="00305630"/>
    <w:rsid w:val="003075A4"/>
    <w:rsid w:val="00311BE5"/>
    <w:rsid w:val="0031333E"/>
    <w:rsid w:val="00330720"/>
    <w:rsid w:val="00331137"/>
    <w:rsid w:val="0036040D"/>
    <w:rsid w:val="0038244C"/>
    <w:rsid w:val="003973E7"/>
    <w:rsid w:val="003A1224"/>
    <w:rsid w:val="003A4321"/>
    <w:rsid w:val="003A4E92"/>
    <w:rsid w:val="003C2DCF"/>
    <w:rsid w:val="0040746A"/>
    <w:rsid w:val="00426DC4"/>
    <w:rsid w:val="0042792B"/>
    <w:rsid w:val="0043181B"/>
    <w:rsid w:val="00451D15"/>
    <w:rsid w:val="004777CB"/>
    <w:rsid w:val="004A6C9D"/>
    <w:rsid w:val="004D1321"/>
    <w:rsid w:val="004D1F9B"/>
    <w:rsid w:val="004D2B0C"/>
    <w:rsid w:val="004D6263"/>
    <w:rsid w:val="004E36F4"/>
    <w:rsid w:val="004F19A5"/>
    <w:rsid w:val="004F7BE6"/>
    <w:rsid w:val="00504EB5"/>
    <w:rsid w:val="00512A5E"/>
    <w:rsid w:val="005235AA"/>
    <w:rsid w:val="00534BB0"/>
    <w:rsid w:val="0057166E"/>
    <w:rsid w:val="00577BC4"/>
    <w:rsid w:val="00591A0C"/>
    <w:rsid w:val="005C214B"/>
    <w:rsid w:val="005E43FF"/>
    <w:rsid w:val="005E6F39"/>
    <w:rsid w:val="005F166D"/>
    <w:rsid w:val="0060616C"/>
    <w:rsid w:val="00613AE1"/>
    <w:rsid w:val="00633410"/>
    <w:rsid w:val="0065571B"/>
    <w:rsid w:val="00665FBD"/>
    <w:rsid w:val="006831F6"/>
    <w:rsid w:val="00686359"/>
    <w:rsid w:val="006B3E3B"/>
    <w:rsid w:val="006D3610"/>
    <w:rsid w:val="006F14AD"/>
    <w:rsid w:val="007404E6"/>
    <w:rsid w:val="00741194"/>
    <w:rsid w:val="00741ADC"/>
    <w:rsid w:val="00762BA7"/>
    <w:rsid w:val="007645CB"/>
    <w:rsid w:val="007739E9"/>
    <w:rsid w:val="00774F70"/>
    <w:rsid w:val="007A35EA"/>
    <w:rsid w:val="007B025F"/>
    <w:rsid w:val="007E3116"/>
    <w:rsid w:val="008216CB"/>
    <w:rsid w:val="00844C6F"/>
    <w:rsid w:val="00866A1E"/>
    <w:rsid w:val="00884210"/>
    <w:rsid w:val="00893CE6"/>
    <w:rsid w:val="008A5924"/>
    <w:rsid w:val="008C76CE"/>
    <w:rsid w:val="008D734E"/>
    <w:rsid w:val="00927239"/>
    <w:rsid w:val="00940C8B"/>
    <w:rsid w:val="00953450"/>
    <w:rsid w:val="00956866"/>
    <w:rsid w:val="00985814"/>
    <w:rsid w:val="009B23D4"/>
    <w:rsid w:val="009C1570"/>
    <w:rsid w:val="009C1E8F"/>
    <w:rsid w:val="009F4695"/>
    <w:rsid w:val="00A0110C"/>
    <w:rsid w:val="00A32F10"/>
    <w:rsid w:val="00A406C0"/>
    <w:rsid w:val="00A54324"/>
    <w:rsid w:val="00A961F9"/>
    <w:rsid w:val="00AB6B24"/>
    <w:rsid w:val="00AC31E8"/>
    <w:rsid w:val="00B0189B"/>
    <w:rsid w:val="00B07621"/>
    <w:rsid w:val="00B07FA5"/>
    <w:rsid w:val="00B261E1"/>
    <w:rsid w:val="00B274EC"/>
    <w:rsid w:val="00B47A53"/>
    <w:rsid w:val="00B61E2E"/>
    <w:rsid w:val="00B6491F"/>
    <w:rsid w:val="00B80FB8"/>
    <w:rsid w:val="00B96376"/>
    <w:rsid w:val="00BA1C57"/>
    <w:rsid w:val="00BC1B8F"/>
    <w:rsid w:val="00BC6327"/>
    <w:rsid w:val="00BD189C"/>
    <w:rsid w:val="00C35094"/>
    <w:rsid w:val="00C75106"/>
    <w:rsid w:val="00C918B2"/>
    <w:rsid w:val="00CF638B"/>
    <w:rsid w:val="00D05467"/>
    <w:rsid w:val="00D07189"/>
    <w:rsid w:val="00D176F2"/>
    <w:rsid w:val="00D23E66"/>
    <w:rsid w:val="00D267AD"/>
    <w:rsid w:val="00D33B09"/>
    <w:rsid w:val="00D55E1D"/>
    <w:rsid w:val="00DB2AB3"/>
    <w:rsid w:val="00DB38CA"/>
    <w:rsid w:val="00DD1878"/>
    <w:rsid w:val="00DD2C5A"/>
    <w:rsid w:val="00DF056A"/>
    <w:rsid w:val="00DF52FF"/>
    <w:rsid w:val="00E12F3D"/>
    <w:rsid w:val="00E21773"/>
    <w:rsid w:val="00E65CB6"/>
    <w:rsid w:val="00E85731"/>
    <w:rsid w:val="00EB5DCE"/>
    <w:rsid w:val="00ED0A44"/>
    <w:rsid w:val="00EE54E7"/>
    <w:rsid w:val="00EF2DF5"/>
    <w:rsid w:val="00F04759"/>
    <w:rsid w:val="00F457A8"/>
    <w:rsid w:val="00F513BB"/>
    <w:rsid w:val="00F60015"/>
    <w:rsid w:val="00F6131E"/>
    <w:rsid w:val="00F6134E"/>
    <w:rsid w:val="00F77120"/>
    <w:rsid w:val="00F874D9"/>
    <w:rsid w:val="00FA1AF5"/>
    <w:rsid w:val="00FA48CC"/>
    <w:rsid w:val="00FA634D"/>
    <w:rsid w:val="00FB384F"/>
    <w:rsid w:val="00FC2D77"/>
    <w:rsid w:val="00FD452E"/>
    <w:rsid w:val="00FE0F91"/>
    <w:rsid w:val="00FE123F"/>
    <w:rsid w:val="00FE1F50"/>
    <w:rsid w:val="00FE7F48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9D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D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A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04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60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ance.detik.com/read/2012/06/22/165154/1948581/4/ini-argumen-pemerintah-jika-diadukan-ke-wto-soal-ekspor-tamba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nance.detik.com/read/2012/06/08/163439/1936494/4/ekspor-tambang-macet-belasan-ribu-pekerja-kena-phk?" TargetMode="External"/><Relationship Id="rId5" Type="http://schemas.openxmlformats.org/officeDocument/2006/relationships/hyperlink" Target="http://finance.detik.com/read/2012/06/01/145008/1930478/4/aturan-pajak-ekspor-tambang-mentah-bakal-tarik-investor-ke-ri?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LP3E-FE</dc:creator>
  <cp:lastModifiedBy>irum</cp:lastModifiedBy>
  <cp:revision>2</cp:revision>
  <dcterms:created xsi:type="dcterms:W3CDTF">2012-10-22T16:04:00Z</dcterms:created>
  <dcterms:modified xsi:type="dcterms:W3CDTF">2012-10-22T16:04:00Z</dcterms:modified>
</cp:coreProperties>
</file>